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2E" w:rsidRPr="001B6390" w:rsidRDefault="0095512E" w:rsidP="0095512E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1B6390">
        <w:rPr>
          <w:rFonts w:ascii="Times New Roman" w:hAnsi="Times New Roman"/>
          <w:sz w:val="24"/>
          <w:szCs w:val="24"/>
        </w:rPr>
        <w:t>ȘCOALA GIMN</w:t>
      </w:r>
      <w:r w:rsidR="00BF0F00">
        <w:rPr>
          <w:rFonts w:ascii="Times New Roman" w:hAnsi="Times New Roman"/>
          <w:sz w:val="24"/>
          <w:szCs w:val="24"/>
        </w:rPr>
        <w:t>AZIALĂ, SAT STREJNICU, COMUNA TÂ</w:t>
      </w:r>
      <w:r w:rsidRPr="001B6390">
        <w:rPr>
          <w:rFonts w:ascii="Times New Roman" w:hAnsi="Times New Roman"/>
          <w:sz w:val="24"/>
          <w:szCs w:val="24"/>
        </w:rPr>
        <w:t>RGȘORU VECHI</w:t>
      </w:r>
    </w:p>
    <w:p w:rsidR="003D03FB" w:rsidRPr="001B6390" w:rsidRDefault="003D03FB" w:rsidP="003D03FB">
      <w:pPr>
        <w:spacing w:after="390" w:line="7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ro-RO"/>
        </w:rPr>
      </w:pPr>
      <w:r w:rsidRPr="001B6390"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ro-RO"/>
        </w:rPr>
        <w:t>OFERTA EDUCA</w:t>
      </w:r>
      <w:r w:rsidR="00A119A4" w:rsidRPr="001B6390"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ro-RO"/>
        </w:rPr>
        <w:t>Ţ</w:t>
      </w:r>
      <w:r w:rsidRPr="001B6390"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ro-RO"/>
        </w:rPr>
        <w:t>IONAL</w:t>
      </w:r>
      <w:r w:rsidR="00A119A4" w:rsidRPr="001B6390"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ro-RO"/>
        </w:rPr>
        <w:t>Ă</w:t>
      </w:r>
    </w:p>
    <w:p w:rsidR="003D03FB" w:rsidRPr="001B6390" w:rsidRDefault="003D03FB" w:rsidP="003D03F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C00000"/>
          <w:sz w:val="31"/>
          <w:szCs w:val="31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iCs/>
          <w:color w:val="C00000"/>
          <w:sz w:val="31"/>
          <w:u w:val="single"/>
          <w:lang w:eastAsia="ro-RO"/>
        </w:rPr>
        <w:t>OFERTA EDUCAŢIONALĂ    </w:t>
      </w:r>
      <w:r w:rsidR="00BF0F00">
        <w:rPr>
          <w:rFonts w:ascii="inherit" w:eastAsia="Times New Roman" w:hAnsi="inherit" w:cs="Arial"/>
          <w:b/>
          <w:bCs/>
          <w:i/>
          <w:iCs/>
          <w:color w:val="C00000"/>
          <w:sz w:val="31"/>
          <w:u w:val="single"/>
          <w:lang w:eastAsia="ro-RO"/>
        </w:rPr>
        <w:t>2020-2021</w:t>
      </w:r>
    </w:p>
    <w:p w:rsidR="003D03FB" w:rsidRPr="003D03FB" w:rsidRDefault="003D03FB" w:rsidP="003D03FB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Arial"/>
          <w:color w:val="323232"/>
          <w:sz w:val="28"/>
          <w:szCs w:val="28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Școala Gim</w:t>
      </w:r>
      <w:r w:rsidR="00BF0F00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nazială sat Strejnicu, comuna Tâ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rgșoru Vechi pune la dispoziţie pentru anul şcolar </w:t>
      </w:r>
      <w:r w:rsidR="00BF0F00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2020</w:t>
      </w:r>
      <w:r w:rsidR="005D4710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-202</w:t>
      </w:r>
      <w:r w:rsidR="00BF0F00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1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 următoarea ofertă educațională:</w:t>
      </w:r>
    </w:p>
    <w:p w:rsidR="003D03FB" w:rsidRPr="001B6390" w:rsidRDefault="003D03FB" w:rsidP="003D03F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548DD4" w:themeColor="text2" w:themeTint="99"/>
          <w:sz w:val="31"/>
          <w:u w:val="single"/>
          <w:lang w:eastAsia="ro-RO"/>
        </w:rPr>
      </w:pPr>
      <w:r w:rsidRPr="001B6390">
        <w:rPr>
          <w:rFonts w:ascii="inherit" w:eastAsia="Times New Roman" w:hAnsi="inherit" w:cs="Arial"/>
          <w:b/>
          <w:bCs/>
          <w:color w:val="548DD4" w:themeColor="text2" w:themeTint="99"/>
          <w:sz w:val="31"/>
          <w:u w:val="single"/>
          <w:lang w:eastAsia="ro-RO"/>
        </w:rPr>
        <w:t xml:space="preserve">PLAN DE ȘCOLARIZARE AN ȘCOLAR </w:t>
      </w:r>
      <w:r w:rsidR="00BF0F00">
        <w:rPr>
          <w:rFonts w:ascii="inherit" w:eastAsia="Times New Roman" w:hAnsi="inherit" w:cs="Arial"/>
          <w:b/>
          <w:bCs/>
          <w:color w:val="548DD4" w:themeColor="text2" w:themeTint="99"/>
          <w:sz w:val="31"/>
          <w:u w:val="single"/>
          <w:lang w:eastAsia="ro-RO"/>
        </w:rPr>
        <w:t>2020</w:t>
      </w:r>
      <w:r w:rsidR="005D4710" w:rsidRPr="001B6390">
        <w:rPr>
          <w:rFonts w:ascii="inherit" w:eastAsia="Times New Roman" w:hAnsi="inherit" w:cs="Arial"/>
          <w:b/>
          <w:bCs/>
          <w:color w:val="548DD4" w:themeColor="text2" w:themeTint="99"/>
          <w:sz w:val="31"/>
          <w:u w:val="single"/>
          <w:lang w:eastAsia="ro-RO"/>
        </w:rPr>
        <w:t>-202</w:t>
      </w:r>
      <w:r w:rsidR="00BF0F00">
        <w:rPr>
          <w:rFonts w:ascii="inherit" w:eastAsia="Times New Roman" w:hAnsi="inherit" w:cs="Arial"/>
          <w:b/>
          <w:bCs/>
          <w:color w:val="548DD4" w:themeColor="text2" w:themeTint="99"/>
          <w:sz w:val="31"/>
          <w:u w:val="single"/>
          <w:lang w:eastAsia="ro-RO"/>
        </w:rPr>
        <w:t>1</w:t>
      </w:r>
    </w:p>
    <w:p w:rsidR="003D03FB" w:rsidRPr="003D03FB" w:rsidRDefault="003D03FB" w:rsidP="003D03F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i/>
          <w:color w:val="323232"/>
          <w:sz w:val="31"/>
          <w:szCs w:val="31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color w:val="548DD4" w:themeColor="text2" w:themeTint="99"/>
          <w:sz w:val="31"/>
          <w:u w:val="single"/>
          <w:lang w:eastAsia="ro-RO"/>
        </w:rPr>
        <w:t xml:space="preserve">ÎNVĂȚĂMÂNT </w:t>
      </w:r>
      <w:r w:rsidR="005D4710" w:rsidRPr="001B6390">
        <w:rPr>
          <w:rFonts w:ascii="inherit" w:eastAsia="Times New Roman" w:hAnsi="inherit" w:cs="Arial"/>
          <w:b/>
          <w:bCs/>
          <w:i/>
          <w:color w:val="548DD4" w:themeColor="text2" w:themeTint="99"/>
          <w:sz w:val="31"/>
          <w:u w:val="single"/>
          <w:lang w:eastAsia="ro-RO"/>
        </w:rPr>
        <w:t xml:space="preserve">  </w:t>
      </w:r>
      <w:r w:rsidRPr="001B6390">
        <w:rPr>
          <w:rFonts w:ascii="inherit" w:eastAsia="Times New Roman" w:hAnsi="inherit" w:cs="Arial"/>
          <w:b/>
          <w:bCs/>
          <w:i/>
          <w:color w:val="548DD4" w:themeColor="text2" w:themeTint="99"/>
          <w:sz w:val="31"/>
          <w:u w:val="single"/>
          <w:lang w:eastAsia="ro-RO"/>
        </w:rPr>
        <w:t>PREȘCOLAR</w:t>
      </w:r>
      <w:r w:rsidR="005D4710">
        <w:rPr>
          <w:rFonts w:ascii="inherit" w:eastAsia="Times New Roman" w:hAnsi="inherit" w:cs="Arial"/>
          <w:b/>
          <w:bCs/>
          <w:i/>
          <w:color w:val="323232"/>
          <w:sz w:val="31"/>
          <w:lang w:eastAsia="ro-RO"/>
        </w:rPr>
        <w:t xml:space="preserve"> -  structură Grădinița cu P.N. comuna Tîrgșoru Vechi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 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G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rupa mic</w:t>
      </w:r>
      <w:r w:rsidRPr="003D03FB">
        <w:rPr>
          <w:rFonts w:ascii="inherit" w:eastAsia="Times New Roman" w:hAnsi="inherit" w:cs="Arial" w:hint="eastAsia"/>
          <w:b/>
          <w:bCs/>
          <w:color w:val="323232"/>
          <w:sz w:val="31"/>
          <w:lang w:eastAsia="ro-RO"/>
        </w:rPr>
        <w:t>ă</w:t>
      </w:r>
      <w:r w:rsidRPr="003D03FB">
        <w:rPr>
          <w:rFonts w:ascii="inherit" w:eastAsia="Times New Roman" w:hAnsi="inherit" w:cs="Arial" w:hint="eastAsia"/>
          <w:color w:val="323232"/>
          <w:sz w:val="31"/>
          <w:szCs w:val="31"/>
          <w:lang w:eastAsia="ro-RO"/>
        </w:rPr>
        <w:t> </w:t>
      </w:r>
      <w:r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 xml:space="preserve">      </w:t>
      </w:r>
      <w:r>
        <w:rPr>
          <w:rFonts w:ascii="inherit" w:eastAsia="Times New Roman" w:hAnsi="inherit" w:cs="Arial" w:hint="eastAsia"/>
          <w:b/>
          <w:bCs/>
          <w:color w:val="323232"/>
          <w:sz w:val="31"/>
          <w:lang w:eastAsia="ro-RO"/>
        </w:rPr>
        <w:t>–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</w:t>
      </w:r>
      <w:r w:rsidR="005D471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1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grupe /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25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-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G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rupa mijlocie</w:t>
      </w:r>
      <w:r w:rsidRPr="003D03FB">
        <w:rPr>
          <w:rFonts w:ascii="inherit" w:eastAsia="Times New Roman" w:hAnsi="inherit" w:cs="Arial" w:hint="eastAsia"/>
          <w:color w:val="323232"/>
          <w:sz w:val="31"/>
          <w:szCs w:val="31"/>
          <w:lang w:eastAsia="ro-RO"/>
        </w:rPr>
        <w:t> </w:t>
      </w:r>
      <w:r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 xml:space="preserve"> </w:t>
      </w:r>
      <w:r>
        <w:rPr>
          <w:rFonts w:ascii="inherit" w:eastAsia="Times New Roman" w:hAnsi="inherit" w:cs="Arial" w:hint="eastAsia"/>
          <w:b/>
          <w:bCs/>
          <w:color w:val="323232"/>
          <w:sz w:val="31"/>
          <w:lang w:eastAsia="ro-RO"/>
        </w:rPr>
        <w:t>–</w:t>
      </w:r>
      <w:r w:rsidR="00A119A4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</w:t>
      </w:r>
      <w:r w:rsidR="005D471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1</w:t>
      </w:r>
      <w:r w:rsidR="00A119A4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grupe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28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 w:hint="eastAsia"/>
          <w:color w:val="323232"/>
          <w:sz w:val="31"/>
          <w:szCs w:val="31"/>
          <w:lang w:eastAsia="ro-RO"/>
        </w:rPr>
        <w:t>– 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G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rupa mare</w:t>
      </w:r>
      <w:r w:rsidRPr="003D03FB">
        <w:rPr>
          <w:rFonts w:ascii="inherit" w:eastAsia="Times New Roman" w:hAnsi="inherit" w:cs="Arial" w:hint="eastAsia"/>
          <w:color w:val="323232"/>
          <w:sz w:val="31"/>
          <w:szCs w:val="31"/>
          <w:lang w:eastAsia="ro-RO"/>
        </w:rPr>
        <w:t> </w:t>
      </w:r>
      <w:r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 xml:space="preserve">     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–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1 grupe / 18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3D03FB" w:rsidRPr="003D03FB" w:rsidRDefault="003D03FB" w:rsidP="003D03FB">
      <w:pPr>
        <w:pStyle w:val="NoSpacing"/>
        <w:rPr>
          <w:rFonts w:ascii="Times New Roman" w:hAnsi="Times New Roman" w:cs="Times New Roman"/>
          <w:lang w:eastAsia="ro-RO"/>
        </w:rPr>
      </w:pPr>
      <w:r w:rsidRPr="003D03FB">
        <w:rPr>
          <w:rFonts w:ascii="Times New Roman" w:hAnsi="Times New Roman" w:cs="Times New Roman"/>
          <w:lang w:eastAsia="ro-RO"/>
        </w:rPr>
        <w:t>Pe parcursul acestui an vor avea loc activităţi conform Curricumului Naţional şi activităţi opţionale.</w:t>
      </w:r>
    </w:p>
    <w:p w:rsidR="003D03FB" w:rsidRPr="003D03FB" w:rsidRDefault="003D03FB" w:rsidP="003D03FB">
      <w:pPr>
        <w:pStyle w:val="NoSpacing"/>
        <w:rPr>
          <w:rFonts w:ascii="Times New Roman" w:hAnsi="Times New Roman" w:cs="Times New Roman"/>
          <w:lang w:eastAsia="ro-RO"/>
        </w:rPr>
      </w:pPr>
      <w:r w:rsidRPr="003D03FB">
        <w:rPr>
          <w:rFonts w:ascii="Times New Roman" w:hAnsi="Times New Roman" w:cs="Times New Roman"/>
          <w:lang w:eastAsia="ro-RO"/>
        </w:rPr>
        <w:t>Activităţile opţionale vor fi stabilite în acord cu părinţii, la început de an şcolar.</w:t>
      </w:r>
    </w:p>
    <w:p w:rsid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</w:pPr>
    </w:p>
    <w:p w:rsidR="003D03FB" w:rsidRPr="001B6390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color w:val="548DD4" w:themeColor="text2" w:themeTint="99"/>
          <w:sz w:val="31"/>
          <w:szCs w:val="31"/>
          <w:u w:val="single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color w:val="548DD4" w:themeColor="text2" w:themeTint="99"/>
          <w:sz w:val="31"/>
          <w:u w:val="single"/>
          <w:lang w:eastAsia="ro-RO"/>
        </w:rPr>
        <w:t>ÎNVĂȚĂMÂNT   PRIMAR  </w:t>
      </w:r>
    </w:p>
    <w:p w:rsidR="003D03FB" w:rsidRPr="005D4710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1"/>
          <w:szCs w:val="31"/>
          <w:lang w:eastAsia="ro-RO"/>
        </w:rPr>
      </w:pPr>
      <w:r w:rsidRPr="005D4710">
        <w:rPr>
          <w:rFonts w:ascii="inherit" w:eastAsia="Times New Roman" w:hAnsi="inherit" w:cs="Arial"/>
          <w:color w:val="FF0000"/>
          <w:sz w:val="31"/>
          <w:szCs w:val="31"/>
          <w:lang w:eastAsia="ro-RO"/>
        </w:rPr>
        <w:t>– C</w:t>
      </w:r>
      <w:r w:rsidR="00BF0F00">
        <w:rPr>
          <w:rFonts w:ascii="inherit" w:eastAsia="Times New Roman" w:hAnsi="inherit" w:cs="Arial"/>
          <w:b/>
          <w:bCs/>
          <w:color w:val="FF0000"/>
          <w:sz w:val="31"/>
          <w:lang w:eastAsia="ro-RO"/>
        </w:rPr>
        <w:t>lasa pregătitoare - 3</w:t>
      </w:r>
      <w:r w:rsidRPr="005D4710">
        <w:rPr>
          <w:rFonts w:ascii="inherit" w:eastAsia="Times New Roman" w:hAnsi="inherit" w:cs="Arial"/>
          <w:b/>
          <w:bCs/>
          <w:color w:val="FF0000"/>
          <w:sz w:val="31"/>
          <w:lang w:eastAsia="ro-RO"/>
        </w:rPr>
        <w:t xml:space="preserve"> clase / </w:t>
      </w:r>
      <w:r w:rsidR="00BF0F00">
        <w:rPr>
          <w:rFonts w:ascii="inherit" w:eastAsia="Times New Roman" w:hAnsi="inherit" w:cs="Arial"/>
          <w:b/>
          <w:bCs/>
          <w:color w:val="FF0000"/>
          <w:sz w:val="31"/>
          <w:lang w:eastAsia="ro-RO"/>
        </w:rPr>
        <w:t>6</w:t>
      </w:r>
      <w:r w:rsidR="005D4710" w:rsidRPr="005D4710">
        <w:rPr>
          <w:rFonts w:ascii="inherit" w:eastAsia="Times New Roman" w:hAnsi="inherit" w:cs="Arial"/>
          <w:b/>
          <w:bCs/>
          <w:color w:val="FF0000"/>
          <w:sz w:val="31"/>
          <w:lang w:eastAsia="ro-RO"/>
        </w:rPr>
        <w:t>5</w:t>
      </w:r>
      <w:r w:rsidRPr="005D4710">
        <w:rPr>
          <w:rFonts w:ascii="inherit" w:eastAsia="Times New Roman" w:hAnsi="inherit" w:cs="Arial"/>
          <w:b/>
          <w:bCs/>
          <w:color w:val="FF0000"/>
          <w:sz w:val="31"/>
          <w:lang w:eastAsia="ro-RO"/>
        </w:rPr>
        <w:t xml:space="preserve"> de locuri</w:t>
      </w:r>
    </w:p>
    <w:p w:rsid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lasa I  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                  - 2</w:t>
      </w:r>
      <w:r w:rsidR="00A119A4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clase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43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lasa a II-a             -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3</w:t>
      </w:r>
      <w:r w:rsidR="0019579D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clase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60</w:t>
      </w:r>
      <w:r w:rsidR="00A119A4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de locuri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 w:rsidR="0019579D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lasa a III-a            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- </w:t>
      </w:r>
      <w:r w:rsidR="005D471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2</w:t>
      </w:r>
      <w:r w:rsidR="0019579D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clase / </w:t>
      </w:r>
      <w:r w:rsidR="005D471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5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3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lasa a IV-a            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-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2</w:t>
      </w:r>
      <w:r w:rsidR="0019579D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clase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57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19579D" w:rsidRDefault="0019579D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23232"/>
          <w:sz w:val="31"/>
          <w:lang w:eastAsia="ro-RO"/>
        </w:rPr>
      </w:pPr>
    </w:p>
    <w:p w:rsidR="00A119A4" w:rsidRPr="001B6390" w:rsidRDefault="003D03FB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48DD4" w:themeColor="text2" w:themeTint="99"/>
          <w:sz w:val="31"/>
          <w:u w:val="single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iCs/>
          <w:color w:val="548DD4" w:themeColor="text2" w:themeTint="99"/>
          <w:sz w:val="31"/>
          <w:u w:val="single"/>
          <w:lang w:eastAsia="ro-RO"/>
        </w:rPr>
        <w:t>ÎNVĂȚĂMÂNT   GIMNAZIAL  </w:t>
      </w:r>
    </w:p>
    <w:p w:rsidR="0019579D" w:rsidRDefault="0019579D" w:rsidP="00323F85">
      <w:pPr>
        <w:shd w:val="clear" w:color="auto" w:fill="FFFFFF"/>
        <w:spacing w:after="0" w:line="240" w:lineRule="auto"/>
        <w:ind w:left="4248" w:hanging="4248"/>
        <w:textAlignment w:val="baseline"/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lasa a V-a             - 3 clase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71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  <w:r w:rsidR="00323F85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(</w:t>
      </w:r>
      <w:r w:rsidR="00323F85" w:rsidRPr="00323F8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o-RO"/>
        </w:rPr>
        <w:t>din care 1 cls. cu  predare intensiv lb. engleză</w:t>
      </w:r>
      <w:r w:rsidR="00323F85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)</w:t>
      </w:r>
    </w:p>
    <w:p w:rsidR="0019579D" w:rsidRDefault="0019579D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las</w:t>
      </w:r>
      <w:r w:rsidR="005D471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a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a VI-a           - 3 clase / 69 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de locuri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(</w:t>
      </w:r>
      <w:r w:rsidR="00BF0F00" w:rsidRPr="00323F85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o-RO"/>
        </w:rPr>
        <w:t>din care 1 cls. cu  predare intensiv lb. engleză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)</w:t>
      </w:r>
    </w:p>
    <w:p w:rsidR="0019579D" w:rsidRPr="003D03FB" w:rsidRDefault="0019579D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lasa a VII-a          - </w:t>
      </w:r>
      <w:r w:rsidR="005D471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3 clase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73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19579D" w:rsidRPr="003D03FB" w:rsidRDefault="0019579D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31"/>
          <w:szCs w:val="31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31"/>
          <w:szCs w:val="31"/>
          <w:lang w:eastAsia="ro-RO"/>
        </w:rPr>
        <w:t>– C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lasa a 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V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III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-a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</w:t>
      </w:r>
      <w:r w:rsidRPr="003D03FB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       </w:t>
      </w:r>
      <w:r w:rsidR="00A119A4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- 3 clase / </w:t>
      </w:r>
      <w:r w:rsidR="00BF0F00"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>64</w:t>
      </w:r>
      <w:r>
        <w:rPr>
          <w:rFonts w:ascii="inherit" w:eastAsia="Times New Roman" w:hAnsi="inherit" w:cs="Arial"/>
          <w:b/>
          <w:bCs/>
          <w:color w:val="323232"/>
          <w:sz w:val="31"/>
          <w:lang w:eastAsia="ro-RO"/>
        </w:rPr>
        <w:t xml:space="preserve"> de locuri</w:t>
      </w:r>
    </w:p>
    <w:p w:rsidR="0019579D" w:rsidRDefault="0019579D" w:rsidP="003D03F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323232"/>
          <w:sz w:val="31"/>
          <w:u w:val="single"/>
          <w:lang w:eastAsia="ro-RO"/>
        </w:rPr>
      </w:pPr>
    </w:p>
    <w:p w:rsidR="003D03FB" w:rsidRPr="001B6390" w:rsidRDefault="003D03FB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6923C" w:themeColor="accent3" w:themeShade="BF"/>
          <w:sz w:val="31"/>
          <w:szCs w:val="31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iCs/>
          <w:color w:val="76923C" w:themeColor="accent3" w:themeShade="BF"/>
          <w:sz w:val="31"/>
          <w:u w:val="single"/>
          <w:lang w:eastAsia="ro-RO"/>
        </w:rPr>
        <w:t xml:space="preserve">BAZĂ </w:t>
      </w:r>
      <w:r w:rsidR="00A119A4" w:rsidRPr="001B6390">
        <w:rPr>
          <w:rFonts w:ascii="inherit" w:eastAsia="Times New Roman" w:hAnsi="inherit" w:cs="Arial"/>
          <w:b/>
          <w:bCs/>
          <w:i/>
          <w:iCs/>
          <w:color w:val="76923C" w:themeColor="accent3" w:themeShade="BF"/>
          <w:sz w:val="31"/>
          <w:u w:val="single"/>
          <w:lang w:eastAsia="ro-RO"/>
        </w:rPr>
        <w:t xml:space="preserve"> </w:t>
      </w:r>
      <w:r w:rsidRPr="001B6390">
        <w:rPr>
          <w:rFonts w:ascii="inherit" w:eastAsia="Times New Roman" w:hAnsi="inherit" w:cs="Arial"/>
          <w:b/>
          <w:bCs/>
          <w:i/>
          <w:iCs/>
          <w:color w:val="76923C" w:themeColor="accent3" w:themeShade="BF"/>
          <w:sz w:val="31"/>
          <w:u w:val="single"/>
          <w:lang w:eastAsia="ro-RO"/>
        </w:rPr>
        <w:t>MATERIALĂ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8"/>
          <w:szCs w:val="28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Școala dispune de 2 corpuri de clădiri 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22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 săli de clasă dotate cu </w:t>
      </w:r>
      <w:r w:rsidRPr="0050491D">
        <w:rPr>
          <w:rFonts w:ascii="inherit" w:eastAsia="Times New Roman" w:hAnsi="inherit" w:cs="Arial"/>
          <w:b/>
          <w:bCs/>
          <w:color w:val="323232"/>
          <w:sz w:val="28"/>
          <w:szCs w:val="28"/>
          <w:lang w:eastAsia="ro-RO"/>
        </w:rPr>
        <w:t>mobilier nou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 și materiale didactice 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utile în procesul de învățământ.</w:t>
      </w:r>
    </w:p>
    <w:p w:rsidR="003D03FB" w:rsidRPr="003D03FB" w:rsidRDefault="003D03FB" w:rsidP="003D03FB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23232"/>
          <w:sz w:val="28"/>
          <w:szCs w:val="28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De asemenea există un cabinet de informatică cu o rețea de 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20 de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 calculatoare conectate la internet.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8"/>
          <w:szCs w:val="28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Copiii vor beneficia de un </w:t>
      </w:r>
      <w:r w:rsidRPr="0050491D">
        <w:rPr>
          <w:rFonts w:ascii="inherit" w:eastAsia="Times New Roman" w:hAnsi="inherit" w:cs="Arial"/>
          <w:b/>
          <w:bCs/>
          <w:color w:val="323232"/>
          <w:sz w:val="28"/>
          <w:szCs w:val="28"/>
          <w:lang w:eastAsia="ro-RO"/>
        </w:rPr>
        <w:t>teren de sport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 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nou, 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cu o dotare m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edie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.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  </w:t>
      </w:r>
    </w:p>
    <w:p w:rsidR="003D03FB" w:rsidRPr="003D03FB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8"/>
          <w:szCs w:val="28"/>
          <w:lang w:eastAsia="ro-RO"/>
        </w:rPr>
      </w:pP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Școala dispunde de </w:t>
      </w:r>
      <w:r w:rsidRPr="0050491D">
        <w:rPr>
          <w:rFonts w:ascii="inherit" w:eastAsia="Times New Roman" w:hAnsi="inherit" w:cs="Arial"/>
          <w:b/>
          <w:bCs/>
          <w:color w:val="323232"/>
          <w:sz w:val="28"/>
          <w:szCs w:val="28"/>
          <w:lang w:eastAsia="ro-RO"/>
        </w:rPr>
        <w:t> internet wireless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 și de o </w:t>
      </w:r>
      <w:r w:rsidRPr="0050491D">
        <w:rPr>
          <w:rFonts w:ascii="inherit" w:eastAsia="Times New Roman" w:hAnsi="inherit" w:cs="Arial"/>
          <w:b/>
          <w:bCs/>
          <w:color w:val="323232"/>
          <w:sz w:val="28"/>
          <w:szCs w:val="28"/>
          <w:lang w:eastAsia="ro-RO"/>
        </w:rPr>
        <w:t>bibliotecă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 xml:space="preserve"> cu peste </w:t>
      </w:r>
      <w:r w:rsidR="0019579D" w:rsidRPr="0050491D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8</w:t>
      </w:r>
      <w:r w:rsidRPr="003D03FB">
        <w:rPr>
          <w:rFonts w:ascii="inherit" w:eastAsia="Times New Roman" w:hAnsi="inherit" w:cs="Arial"/>
          <w:color w:val="323232"/>
          <w:sz w:val="28"/>
          <w:szCs w:val="28"/>
          <w:lang w:eastAsia="ro-RO"/>
        </w:rPr>
        <w:t>000 de volume, cd-uri, atlase etc.</w:t>
      </w:r>
    </w:p>
    <w:p w:rsidR="0019579D" w:rsidRPr="0050491D" w:rsidRDefault="0019579D" w:rsidP="003D03F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323232"/>
          <w:sz w:val="28"/>
          <w:szCs w:val="28"/>
          <w:u w:val="single"/>
          <w:lang w:eastAsia="ro-RO"/>
        </w:rPr>
      </w:pPr>
    </w:p>
    <w:p w:rsidR="001B6390" w:rsidRDefault="001B6390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23232"/>
          <w:sz w:val="28"/>
          <w:szCs w:val="28"/>
          <w:lang w:eastAsia="ro-RO"/>
        </w:rPr>
      </w:pPr>
    </w:p>
    <w:p w:rsidR="001B6390" w:rsidRDefault="001B6390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23232"/>
          <w:sz w:val="28"/>
          <w:szCs w:val="28"/>
          <w:lang w:eastAsia="ro-RO"/>
        </w:rPr>
      </w:pPr>
    </w:p>
    <w:p w:rsidR="003D03FB" w:rsidRPr="001B6390" w:rsidRDefault="003D03FB" w:rsidP="001957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C00000"/>
          <w:sz w:val="28"/>
          <w:szCs w:val="28"/>
          <w:u w:val="single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iCs/>
          <w:color w:val="C00000"/>
          <w:sz w:val="28"/>
          <w:szCs w:val="28"/>
          <w:u w:val="single"/>
          <w:lang w:eastAsia="ro-RO"/>
        </w:rPr>
        <w:lastRenderedPageBreak/>
        <w:t xml:space="preserve">RESURSA UMANĂ – CADRELE </w:t>
      </w:r>
      <w:r w:rsidR="0019579D" w:rsidRPr="001B6390">
        <w:rPr>
          <w:rFonts w:ascii="inherit" w:eastAsia="Times New Roman" w:hAnsi="inherit" w:cs="Arial"/>
          <w:b/>
          <w:bCs/>
          <w:i/>
          <w:iCs/>
          <w:color w:val="C00000"/>
          <w:sz w:val="28"/>
          <w:szCs w:val="28"/>
          <w:u w:val="single"/>
          <w:lang w:eastAsia="ro-RO"/>
        </w:rPr>
        <w:t xml:space="preserve"> </w:t>
      </w:r>
      <w:r w:rsidRPr="001B6390">
        <w:rPr>
          <w:rFonts w:ascii="inherit" w:eastAsia="Times New Roman" w:hAnsi="inherit" w:cs="Arial"/>
          <w:b/>
          <w:bCs/>
          <w:i/>
          <w:iCs/>
          <w:color w:val="C00000"/>
          <w:sz w:val="28"/>
          <w:szCs w:val="28"/>
          <w:u w:val="single"/>
          <w:lang w:eastAsia="ro-RO"/>
        </w:rPr>
        <w:t>DIDACTICE</w:t>
      </w:r>
    </w:p>
    <w:p w:rsidR="003D03FB" w:rsidRPr="00EF2D1F" w:rsidRDefault="003D03FB" w:rsidP="003D03FB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23232"/>
          <w:sz w:val="24"/>
          <w:szCs w:val="24"/>
          <w:lang w:eastAsia="ro-RO"/>
        </w:rPr>
      </w:pP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– </w:t>
      </w:r>
      <w:r w:rsidR="0019579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Personalul de conducere – 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Director</w:t>
      </w:r>
      <w:r w:rsidR="0019579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 și director adjunct - membri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 în Corpul Național de Experți în Management Educațional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br/>
        <w:t xml:space="preserve">– Toate cadrele didactice </w:t>
      </w:r>
      <w:r w:rsidR="0050491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sunt calificate și 8</w:t>
      </w:r>
      <w:r w:rsidR="0019579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0% din personal 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au experiență </w:t>
      </w:r>
      <w:r w:rsidR="0050491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și vechime de peste 25-30 de </w:t>
      </w:r>
      <w:r w:rsidR="00A119A4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ani </w:t>
      </w:r>
      <w:r w:rsidR="0050491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în învățământ;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br/>
        <w:t xml:space="preserve">– </w:t>
      </w:r>
      <w:r w:rsidR="0019579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Unele cadre didactice</w:t>
      </w:r>
      <w:r w:rsidR="00A119A4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 au studii postuniversitare , 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masterat</w:t>
      </w:r>
      <w:r w:rsidR="00A119A4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 şi doctorat;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br/>
        <w:t>– Toate cadrele didactice au urmat cursuri de formare și perfecționare</w:t>
      </w:r>
      <w:r w:rsidR="00A119A4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.</w:t>
      </w:r>
    </w:p>
    <w:p w:rsidR="003D03FB" w:rsidRPr="00EF2D1F" w:rsidRDefault="003D03FB" w:rsidP="005049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F81BD" w:themeColor="accent1"/>
          <w:sz w:val="24"/>
          <w:szCs w:val="24"/>
          <w:u w:val="single"/>
          <w:lang w:eastAsia="ro-RO"/>
        </w:rPr>
      </w:pPr>
      <w:r w:rsidRPr="00EF2D1F">
        <w:rPr>
          <w:rFonts w:ascii="inherit" w:eastAsia="Times New Roman" w:hAnsi="inherit" w:cs="Arial"/>
          <w:b/>
          <w:bCs/>
          <w:i/>
          <w:iCs/>
          <w:color w:val="4F81BD" w:themeColor="accent1"/>
          <w:sz w:val="24"/>
          <w:szCs w:val="24"/>
          <w:u w:val="single"/>
          <w:lang w:eastAsia="ro-RO"/>
        </w:rPr>
        <w:t>OFERTA CURRICULARĂ</w:t>
      </w:r>
    </w:p>
    <w:p w:rsidR="003D03FB" w:rsidRPr="00EF2D1F" w:rsidRDefault="003D03FB" w:rsidP="003D03FB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23232"/>
          <w:sz w:val="24"/>
          <w:szCs w:val="24"/>
          <w:lang w:eastAsia="ro-RO"/>
        </w:rPr>
      </w:pP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În cadrul școlii noastre se vor desfășura cursuri conform planului cadru și programei școlare aprobate de Ministerul Educație</w:t>
      </w:r>
      <w:r w:rsidR="0050491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i </w:t>
      </w:r>
      <w:r w:rsidR="00BF0F00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și Cercetării</w:t>
      </w:r>
      <w:r w:rsidR="0050491D"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 xml:space="preserve">. </w:t>
      </w:r>
      <w:r w:rsidRPr="00EF2D1F">
        <w:rPr>
          <w:rFonts w:ascii="inherit" w:eastAsia="Times New Roman" w:hAnsi="inherit" w:cs="Arial"/>
          <w:color w:val="323232"/>
          <w:sz w:val="24"/>
          <w:szCs w:val="24"/>
          <w:lang w:eastAsia="ro-RO"/>
        </w:rPr>
        <w:t>De asemenea elevii silitori vor putea participa la concursurile județene și naționale de matematică, limba română, științe, limbi străine (Comper, Cangurul,  etc.)</w:t>
      </w:r>
    </w:p>
    <w:p w:rsidR="003D03FB" w:rsidRPr="001B6390" w:rsidRDefault="003D03FB" w:rsidP="005049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F81BD" w:themeColor="accent1"/>
          <w:sz w:val="31"/>
          <w:szCs w:val="31"/>
          <w:lang w:eastAsia="ro-RO"/>
        </w:rPr>
      </w:pPr>
      <w:r w:rsidRPr="001B6390">
        <w:rPr>
          <w:rFonts w:ascii="inherit" w:eastAsia="Times New Roman" w:hAnsi="inherit" w:cs="Arial"/>
          <w:b/>
          <w:bCs/>
          <w:i/>
          <w:iCs/>
          <w:color w:val="4F81BD" w:themeColor="accent1"/>
          <w:sz w:val="31"/>
          <w:lang w:eastAsia="ro-RO"/>
        </w:rPr>
        <w:t>OFERTA DE OPȚIONALE 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547"/>
        <w:gridCol w:w="2302"/>
        <w:gridCol w:w="1278"/>
        <w:gridCol w:w="1133"/>
        <w:gridCol w:w="2222"/>
      </w:tblGrid>
      <w:tr w:rsidR="00EF2D1F" w:rsidTr="00EF2D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35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Nr.</w:t>
            </w: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crt</w:t>
            </w:r>
          </w:p>
        </w:tc>
        <w:tc>
          <w:tcPr>
            <w:tcW w:w="2547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Aria curriculară</w:t>
            </w:r>
          </w:p>
        </w:tc>
        <w:tc>
          <w:tcPr>
            <w:tcW w:w="2302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 xml:space="preserve">Disciplina/denumirea opţionalelor </w:t>
            </w:r>
          </w:p>
        </w:tc>
        <w:tc>
          <w:tcPr>
            <w:tcW w:w="1278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Tip</w:t>
            </w: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opțional</w:t>
            </w:r>
          </w:p>
        </w:tc>
        <w:tc>
          <w:tcPr>
            <w:tcW w:w="1133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Clasa</w:t>
            </w:r>
          </w:p>
        </w:tc>
        <w:tc>
          <w:tcPr>
            <w:tcW w:w="2222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Numele și prenumele cadrului didactic</w:t>
            </w: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35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EF2D1F" w:rsidRDefault="00EF2D1F" w:rsidP="006717ED">
            <w:pPr>
              <w:rPr>
                <w:sz w:val="24"/>
              </w:rPr>
            </w:pP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Limbă și comunicare</w:t>
            </w:r>
          </w:p>
        </w:tc>
        <w:tc>
          <w:tcPr>
            <w:tcW w:w="2302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Magia scrisului</w:t>
            </w:r>
          </w:p>
        </w:tc>
        <w:tc>
          <w:tcPr>
            <w:tcW w:w="1278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La nivelul unității școlare</w:t>
            </w:r>
          </w:p>
        </w:tc>
        <w:tc>
          <w:tcPr>
            <w:tcW w:w="1133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II A</w:t>
            </w:r>
          </w:p>
        </w:tc>
        <w:tc>
          <w:tcPr>
            <w:tcW w:w="2222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Suditu  Mădălina-Adriana</w:t>
            </w: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35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Limbă și comunicare</w:t>
            </w:r>
          </w:p>
        </w:tc>
        <w:tc>
          <w:tcPr>
            <w:tcW w:w="2302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Lectura și abilitățile de viață</w:t>
            </w:r>
          </w:p>
        </w:tc>
        <w:tc>
          <w:tcPr>
            <w:tcW w:w="1278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La nivelul unității școlare</w:t>
            </w:r>
          </w:p>
        </w:tc>
        <w:tc>
          <w:tcPr>
            <w:tcW w:w="1133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V A, V B</w:t>
            </w:r>
          </w:p>
        </w:tc>
        <w:tc>
          <w:tcPr>
            <w:tcW w:w="2222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Cucu Alina</w:t>
            </w: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35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547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V C</w:t>
            </w:r>
          </w:p>
        </w:tc>
        <w:tc>
          <w:tcPr>
            <w:tcW w:w="2222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Popescu Constanța</w:t>
            </w: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5" w:type="dxa"/>
            <w:vMerge w:val="restart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Om și societate</w:t>
            </w:r>
          </w:p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Curiozități geografice</w:t>
            </w:r>
          </w:p>
        </w:tc>
        <w:tc>
          <w:tcPr>
            <w:tcW w:w="1278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La nivelul unității școlare</w:t>
            </w:r>
          </w:p>
        </w:tc>
        <w:tc>
          <w:tcPr>
            <w:tcW w:w="1133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VI-a A</w:t>
            </w:r>
          </w:p>
        </w:tc>
        <w:tc>
          <w:tcPr>
            <w:tcW w:w="2222" w:type="dxa"/>
            <w:vMerge w:val="restart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Ivanciu Claudia</w:t>
            </w: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5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VI-a B</w:t>
            </w:r>
          </w:p>
        </w:tc>
        <w:tc>
          <w:tcPr>
            <w:tcW w:w="2222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35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VI-a C</w:t>
            </w:r>
          </w:p>
        </w:tc>
        <w:tc>
          <w:tcPr>
            <w:tcW w:w="2222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35" w:type="dxa"/>
            <w:vMerge w:val="restart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7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Matematică și științe</w:t>
            </w:r>
          </w:p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 w:val="restart"/>
          </w:tcPr>
          <w:p w:rsidR="00EF2D1F" w:rsidRPr="00822875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Educație pentru sănătate</w:t>
            </w:r>
          </w:p>
        </w:tc>
        <w:tc>
          <w:tcPr>
            <w:tcW w:w="1278" w:type="dxa"/>
            <w:vMerge w:val="restart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La nivelul unității școlare</w:t>
            </w:r>
          </w:p>
        </w:tc>
        <w:tc>
          <w:tcPr>
            <w:tcW w:w="1133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VII-a A</w:t>
            </w:r>
          </w:p>
        </w:tc>
        <w:tc>
          <w:tcPr>
            <w:tcW w:w="2222" w:type="dxa"/>
            <w:vMerge w:val="restart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Panait  Anda</w:t>
            </w: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35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/>
          </w:tcPr>
          <w:p w:rsidR="00EF2D1F" w:rsidRPr="00822875" w:rsidRDefault="00EF2D1F" w:rsidP="006717ED">
            <w:pPr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VII-a B</w:t>
            </w:r>
          </w:p>
        </w:tc>
        <w:tc>
          <w:tcPr>
            <w:tcW w:w="2222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35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  <w:vMerge/>
          </w:tcPr>
          <w:p w:rsidR="00EF2D1F" w:rsidRPr="00822875" w:rsidRDefault="00EF2D1F" w:rsidP="006717ED">
            <w:pPr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VII-a C</w:t>
            </w:r>
          </w:p>
        </w:tc>
        <w:tc>
          <w:tcPr>
            <w:tcW w:w="2222" w:type="dxa"/>
            <w:vMerge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</w:p>
        </w:tc>
      </w:tr>
      <w:tr w:rsidR="00EF2D1F" w:rsidTr="00EF2D1F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535" w:type="dxa"/>
            <w:vAlign w:val="center"/>
          </w:tcPr>
          <w:p w:rsidR="00EF2D1F" w:rsidRDefault="00EF2D1F" w:rsidP="006717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F2D1F" w:rsidRDefault="00EF2D1F" w:rsidP="006717ED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</w:tcPr>
          <w:p w:rsidR="00EF2D1F" w:rsidRDefault="00EF2D1F" w:rsidP="006717ED">
            <w:pPr>
              <w:rPr>
                <w:sz w:val="24"/>
              </w:rPr>
            </w:pPr>
          </w:p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Matematică și științe</w:t>
            </w:r>
          </w:p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2302" w:type="dxa"/>
          </w:tcPr>
          <w:p w:rsidR="00EF2D1F" w:rsidRDefault="00EF2D1F" w:rsidP="006717ED">
            <w:pPr>
              <w:rPr>
                <w:sz w:val="24"/>
              </w:rPr>
            </w:pPr>
          </w:p>
          <w:p w:rsidR="00EF2D1F" w:rsidRDefault="00EF2D1F" w:rsidP="006717ED">
            <w:pPr>
              <w:rPr>
                <w:sz w:val="24"/>
              </w:rPr>
            </w:pPr>
            <w:r w:rsidRPr="00822875">
              <w:rPr>
                <w:sz w:val="24"/>
              </w:rPr>
              <w:t>Complemente de matematică</w:t>
            </w:r>
          </w:p>
        </w:tc>
        <w:tc>
          <w:tcPr>
            <w:tcW w:w="1278" w:type="dxa"/>
          </w:tcPr>
          <w:p w:rsidR="00EF2D1F" w:rsidRDefault="00EF2D1F" w:rsidP="006717ED">
            <w:pPr>
              <w:rPr>
                <w:sz w:val="24"/>
              </w:rPr>
            </w:pPr>
            <w:r>
              <w:rPr>
                <w:sz w:val="24"/>
              </w:rPr>
              <w:t>La nivelul unității școlare</w:t>
            </w:r>
          </w:p>
          <w:p w:rsidR="00EF2D1F" w:rsidRDefault="00EF2D1F" w:rsidP="006717ED">
            <w:pPr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EF2D1F" w:rsidRPr="00822875" w:rsidRDefault="00EF2D1F" w:rsidP="00EF2D1F">
            <w:r w:rsidRPr="00822875">
              <w:t>a VIII-a A</w:t>
            </w:r>
          </w:p>
        </w:tc>
        <w:tc>
          <w:tcPr>
            <w:tcW w:w="2222" w:type="dxa"/>
            <w:vAlign w:val="center"/>
          </w:tcPr>
          <w:p w:rsidR="00EF2D1F" w:rsidRDefault="00EF2D1F" w:rsidP="00EF2D1F">
            <w:pPr>
              <w:rPr>
                <w:sz w:val="24"/>
              </w:rPr>
            </w:pPr>
            <w:r>
              <w:rPr>
                <w:sz w:val="24"/>
              </w:rPr>
              <w:t>Amarghioalei Elena-Teodora</w:t>
            </w:r>
          </w:p>
        </w:tc>
      </w:tr>
    </w:tbl>
    <w:p w:rsidR="007B2BCE" w:rsidRDefault="007B2BCE" w:rsidP="005D4710">
      <w:pPr>
        <w:shd w:val="clear" w:color="auto" w:fill="FFFFFF"/>
        <w:tabs>
          <w:tab w:val="left" w:pos="240"/>
        </w:tabs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31"/>
          <w:u w:val="single"/>
          <w:lang w:eastAsia="ro-RO"/>
        </w:rPr>
      </w:pPr>
    </w:p>
    <w:p w:rsidR="003D03FB" w:rsidRPr="001B6390" w:rsidRDefault="003D03FB" w:rsidP="003D03F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E36C0A" w:themeColor="accent6" w:themeShade="BF"/>
          <w:lang w:eastAsia="ro-RO"/>
        </w:rPr>
      </w:pPr>
      <w:r w:rsidRPr="001B6390">
        <w:rPr>
          <w:rFonts w:ascii="inherit" w:eastAsia="Times New Roman" w:hAnsi="inherit" w:cs="Arial"/>
          <w:b/>
          <w:bCs/>
          <w:color w:val="E36C0A" w:themeColor="accent6" w:themeShade="BF"/>
          <w:u w:val="single"/>
          <w:lang w:eastAsia="ro-RO"/>
        </w:rPr>
        <w:t xml:space="preserve">INFORMAȚII DESPRE ȘCOALA GIMNAZIALĂ </w:t>
      </w:r>
      <w:r w:rsidR="00BF0F00">
        <w:rPr>
          <w:rFonts w:ascii="inherit" w:eastAsia="Times New Roman" w:hAnsi="inherit" w:cs="Arial"/>
          <w:b/>
          <w:bCs/>
          <w:color w:val="E36C0A" w:themeColor="accent6" w:themeShade="BF"/>
          <w:u w:val="single"/>
          <w:lang w:eastAsia="ro-RO"/>
        </w:rPr>
        <w:t>SAT STREJNICU COMUNA TÂ</w:t>
      </w:r>
      <w:r w:rsidR="00AE5A90" w:rsidRPr="001B6390">
        <w:rPr>
          <w:rFonts w:ascii="inherit" w:eastAsia="Times New Roman" w:hAnsi="inherit" w:cs="Arial"/>
          <w:b/>
          <w:bCs/>
          <w:color w:val="E36C0A" w:themeColor="accent6" w:themeShade="BF"/>
          <w:u w:val="single"/>
          <w:lang w:eastAsia="ro-RO"/>
        </w:rPr>
        <w:t>RGȘORU VECHI</w:t>
      </w:r>
    </w:p>
    <w:p w:rsidR="001B6390" w:rsidRDefault="003D03FB" w:rsidP="003D0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</w:pPr>
      <w:r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        </w:t>
      </w:r>
    </w:p>
    <w:p w:rsidR="003D03FB" w:rsidRPr="003D03FB" w:rsidRDefault="0050491D" w:rsidP="001B639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23232"/>
          <w:sz w:val="24"/>
          <w:szCs w:val="24"/>
          <w:lang w:eastAsia="ro-RO"/>
        </w:rPr>
      </w:pPr>
      <w:r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 xml:space="preserve">Ne puteți contacta </w:t>
      </w:r>
      <w:r w:rsidR="003D03FB"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 xml:space="preserve"> zilnic la numărul de telefon </w:t>
      </w:r>
      <w:r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0244482618</w:t>
      </w:r>
      <w:r w:rsidR="003D03FB"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. De asemenea ne puteți adresa întrebări la adresa de mail scoala.</w:t>
      </w:r>
      <w:r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strejnicu</w:t>
      </w:r>
      <w:r w:rsidR="003D03FB"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@</w:t>
      </w:r>
      <w:r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yahoo</w:t>
      </w:r>
      <w:r w:rsidR="003D03FB" w:rsidRPr="0050491D">
        <w:rPr>
          <w:rFonts w:ascii="inherit" w:eastAsia="Times New Roman" w:hAnsi="inherit" w:cs="Arial"/>
          <w:b/>
          <w:bCs/>
          <w:color w:val="323232"/>
          <w:sz w:val="24"/>
          <w:szCs w:val="24"/>
          <w:lang w:eastAsia="ro-RO"/>
        </w:rPr>
        <w:t>.com.</w:t>
      </w:r>
    </w:p>
    <w:sectPr w:rsidR="003D03FB" w:rsidRPr="003D03FB" w:rsidSect="00323F85">
      <w:pgSz w:w="11906" w:h="16838"/>
      <w:pgMar w:top="1135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3B8"/>
    <w:multiLevelType w:val="multilevel"/>
    <w:tmpl w:val="2082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420F5"/>
    <w:multiLevelType w:val="multilevel"/>
    <w:tmpl w:val="358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3FB"/>
    <w:rsid w:val="0019579D"/>
    <w:rsid w:val="00195A33"/>
    <w:rsid w:val="001B6390"/>
    <w:rsid w:val="002A3803"/>
    <w:rsid w:val="00323F85"/>
    <w:rsid w:val="003D03FB"/>
    <w:rsid w:val="0050491D"/>
    <w:rsid w:val="005D4710"/>
    <w:rsid w:val="007B2BCE"/>
    <w:rsid w:val="008320A8"/>
    <w:rsid w:val="008A4A03"/>
    <w:rsid w:val="00901C30"/>
    <w:rsid w:val="0095512E"/>
    <w:rsid w:val="00A119A4"/>
    <w:rsid w:val="00A15245"/>
    <w:rsid w:val="00AE5A90"/>
    <w:rsid w:val="00B80EAD"/>
    <w:rsid w:val="00BF0F00"/>
    <w:rsid w:val="00C42EAF"/>
    <w:rsid w:val="00DD2078"/>
    <w:rsid w:val="00E85DF1"/>
    <w:rsid w:val="00EF2D1F"/>
    <w:rsid w:val="00F3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78"/>
  </w:style>
  <w:style w:type="paragraph" w:styleId="Heading1">
    <w:name w:val="heading 1"/>
    <w:basedOn w:val="Normal"/>
    <w:link w:val="Heading1Char"/>
    <w:uiPriority w:val="9"/>
    <w:qFormat/>
    <w:rsid w:val="003D0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3D0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3FB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3D03FB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D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3D03FB"/>
    <w:rPr>
      <w:b/>
      <w:bCs/>
    </w:rPr>
  </w:style>
  <w:style w:type="character" w:styleId="Emphasis">
    <w:name w:val="Emphasis"/>
    <w:basedOn w:val="DefaultParagraphFont"/>
    <w:uiPriority w:val="20"/>
    <w:qFormat/>
    <w:rsid w:val="003D03FB"/>
    <w:rPr>
      <w:i/>
      <w:iCs/>
    </w:rPr>
  </w:style>
  <w:style w:type="character" w:customStyle="1" w:styleId="skimlinks-unlinked">
    <w:name w:val="skimlinks-unlinked"/>
    <w:basedOn w:val="DefaultParagraphFont"/>
    <w:rsid w:val="003D03FB"/>
  </w:style>
  <w:style w:type="paragraph" w:styleId="ListParagraph">
    <w:name w:val="List Paragraph"/>
    <w:basedOn w:val="Normal"/>
    <w:uiPriority w:val="34"/>
    <w:qFormat/>
    <w:rsid w:val="003D03FB"/>
    <w:pPr>
      <w:ind w:left="720"/>
      <w:contextualSpacing/>
    </w:pPr>
  </w:style>
  <w:style w:type="paragraph" w:styleId="NoSpacing">
    <w:name w:val="No Spacing"/>
    <w:uiPriority w:val="1"/>
    <w:qFormat/>
    <w:rsid w:val="003D03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68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2019-04-10T13:59:00Z</cp:lastPrinted>
  <dcterms:created xsi:type="dcterms:W3CDTF">2017-09-12T20:10:00Z</dcterms:created>
  <dcterms:modified xsi:type="dcterms:W3CDTF">2020-02-25T13:04:00Z</dcterms:modified>
</cp:coreProperties>
</file>